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Hacer circular buenas prácticas</w:t>
      </w:r>
    </w:p>
    <w:p>
      <w:r>
        <w:t>Diseñad un modo de compartir ejemplos corregidos que pueda comenzar el mes próximo y tenga una persona responsable.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Empresa con equipos</w:t>
            </w:r>
          </w:p>
          <w:p>
            <w:r>
              <w:t>Compras y comercial eligen un referente cada uno con tiempo reconocido. Una vez al mes revisan un caso útil, un error y una regla nueva. Las fichas aprobadas quedan en un espacio común. IT o privacidad intervienen cuando hay permisos o datos en juego.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Pyme</w:t>
            </w:r>
          </w:p>
          <w:p>
            <w:r>
              <w:t>Dos personas que usan IA se reúnen 20 minutos cada dos semanas. Guardan un ejemplo corregido y una persona decide si pasa a ser la forma habitual de trabajar.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7087"/>
      </w:tblGrid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Áreas o personas participantes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Referente y tiempo disponible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Primera fecha y duración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Dónde queda la versión vigente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rPr>
                <w:b/>
              </w:rPr>
              <w:t>Quién aprueba una ficha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  <w:shd w:fill="F1F5FB"/>
          </w:tcPr>
          <w:p>
            <w:r>
              <w:t xml:space="preserve"> </w:t>
            </w:r>
          </w:p>
        </w:tc>
      </w:tr>
      <w:tr>
        <w:tc>
          <w:tcPr>
            <w:tcW w:type="dxa" w:w="2835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rPr>
                <w:b/>
              </w:rPr>
              <w:t>Cómo se elevan dudas</w:t>
            </w:r>
          </w:p>
        </w:tc>
        <w:tc>
          <w:tcPr>
            <w:tcW w:type="dxa" w:w="7087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  <w:vAlign w:val="top"/>
          </w:tcPr>
          <w:p>
            <w:r>
              <w:t xml:space="preserve"> </w:t>
            </w:r>
          </w:p>
        </w:tc>
      </w:tr>
    </w:tbl>
    <w:p/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9921"/>
      </w:tblGrid>
      <w:tr>
        <w:tc>
          <w:tcPr>
            <w:tcW w:type="dxa" w:w="10036"/>
            <w:shd w:fill="F1F5FB"/>
            <w:tcBorders>
              <w:top w:val="single" w:sz="3" w:color="D5E0EB"/>
              <w:bottom w:val="single" w:sz="3" w:color="D5E0EB"/>
              <w:left w:val="single" w:sz="3" w:color="D5E0EB"/>
              <w:right w:val="single" w:sz="3" w:color="D5E0EB"/>
            </w:tcBorders>
          </w:tcPr>
          <w:p>
            <w:r>
              <w:rPr>
                <w:b/>
                <w:color w:val="0752D9"/>
              </w:rPr>
              <w:t>Petición opcional para una IA autorizada</w:t>
            </w:r>
          </w:p>
          <w:p>
            <w:r>
              <w:t>Critica este plan de intercambio de buenas prácticas: [pegar solo la estructura]. Busca una dependencia que pueda hacerlo fracasar, un incentivo mal diseñado y un riesgo de compartir información indebida. Propón una corrección pequeña para cada punto.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879" w:right="935" w:bottom="765" w:left="9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i/>
      </w:rPr>
      <w:t>Liderar con IA · ESIC · Alcoi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10000" cy="456127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es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0000" cy="456127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Segoe UI" w:hAnsi="Segoe UI"/>
      <w:color w:val="172B4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60"/>
      <w:outlineLvl w:val="0"/>
    </w:pPr>
    <w:rPr>
      <w:rFonts w:asciiTheme="majorHAnsi" w:eastAsiaTheme="majorEastAsia" w:hAnsiTheme="majorHAnsi" w:cstheme="majorBidi" w:ascii="Segoe UI" w:hAnsi="Segoe U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Segoe UI" w:hAnsi="Segoe UI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</w:pPr>
    <w:rPr>
      <w:rFonts w:asciiTheme="majorHAnsi" w:eastAsiaTheme="majorEastAsia" w:hAnsiTheme="majorHAnsi" w:cstheme="majorBidi" w:ascii="Segoe UI" w:hAnsi="Segoe UI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