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Delegar decisiones de una oferta comercial</w:t>
      </w:r>
    </w:p>
    <w:p>
      <w:r>
        <w:t>Clasificad cuatro decisiones según dos preguntas: ¿la respuesta está bien definida? ¿qué consecuencias tendría equivocarse? Después acordad qué puede preparar la IA y quién autoriza la acción.</w:t>
      </w:r>
    </w:p>
    <w:p>
      <w:r>
        <w:t>Caso ficticio: el cliente pide una oferta, la tarifa acaba de cambiar y operaciones aún no confirma la fecha de entrega.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10036"/>
            <w:shd w:fill="F1F5FB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</w:tcPr>
          <w:p>
            <w:r>
              <w:rPr>
                <w:b/>
                <w:color w:val="0752D9"/>
              </w:rPr>
              <w:t>A · Enfoque</w:t>
            </w:r>
          </w:p>
          <w:p>
            <w:r>
              <w:t>Proponer tres formas de responder; ninguna se envía todavía.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10036"/>
            <w:shd w:fill="F1F5FB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</w:tcPr>
          <w:p>
            <w:r>
              <w:rPr>
                <w:b/>
                <w:color w:val="0752D9"/>
              </w:rPr>
              <w:t>B · Precio</w:t>
            </w:r>
          </w:p>
          <w:p>
            <w:r>
              <w:t>Fijar el precio final de una oferta grande con tarifa y descuentos autorizados.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10036"/>
            <w:shd w:fill="F1F5FB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</w:tcPr>
          <w:p>
            <w:r>
              <w:rPr>
                <w:b/>
                <w:color w:val="0752D9"/>
              </w:rPr>
              <w:t>C · Clasificación</w:t>
            </w:r>
          </w:p>
          <w:p>
            <w:r>
              <w:t>Marcar la petición como estándar o excepción siguiendo reglas escritas.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10036"/>
            <w:shd w:fill="F1F5FB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</w:tcPr>
          <w:p>
            <w:r>
              <w:rPr>
                <w:b/>
                <w:color w:val="0752D9"/>
              </w:rPr>
              <w:t>D · Plazo</w:t>
            </w:r>
          </w:p>
          <w:p>
            <w:r>
              <w:t>Comprometer una fecha que obliga a reorganizar producción y otras entregas.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35"/>
        <w:gridCol w:w="7087"/>
      </w:tblGrid>
      <w:tr>
        <w:tc>
          <w:tcPr>
            <w:tcW w:type="dxa" w:w="2835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  <w:shd w:fill="F1F5FB"/>
          </w:tcPr>
          <w:p>
            <w:r>
              <w:rPr>
                <w:b/>
              </w:rPr>
              <w:t>A · Cuadrante / persona</w:t>
            </w:r>
          </w:p>
        </w:tc>
        <w:tc>
          <w:tcPr>
            <w:tcW w:type="dxa" w:w="7087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  <w:shd w:fill="F1F5FB"/>
          </w:tcPr>
          <w:p>
            <w:r>
              <w:t xml:space="preserve"> </w:t>
            </w:r>
          </w:p>
        </w:tc>
      </w:tr>
      <w:tr>
        <w:tc>
          <w:tcPr>
            <w:tcW w:type="dxa" w:w="2835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</w:tcPr>
          <w:p>
            <w:r>
              <w:rPr>
                <w:b/>
              </w:rPr>
              <w:t>B · Cuadrante / persona</w:t>
            </w:r>
          </w:p>
        </w:tc>
        <w:tc>
          <w:tcPr>
            <w:tcW w:type="dxa" w:w="7087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2835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  <w:shd w:fill="F1F5FB"/>
          </w:tcPr>
          <w:p>
            <w:r>
              <w:rPr>
                <w:b/>
              </w:rPr>
              <w:t>C · Cuadrante / persona</w:t>
            </w:r>
          </w:p>
        </w:tc>
        <w:tc>
          <w:tcPr>
            <w:tcW w:type="dxa" w:w="7087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  <w:shd w:fill="F1F5FB"/>
          </w:tcPr>
          <w:p>
            <w:r>
              <w:t xml:space="preserve"> </w:t>
            </w:r>
          </w:p>
        </w:tc>
      </w:tr>
      <w:tr>
        <w:tc>
          <w:tcPr>
            <w:tcW w:type="dxa" w:w="2835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</w:tcPr>
          <w:p>
            <w:r>
              <w:rPr>
                <w:b/>
              </w:rPr>
              <w:t>D · Cuadrante / persona</w:t>
            </w:r>
          </w:p>
        </w:tc>
        <w:tc>
          <w:tcPr>
            <w:tcW w:type="dxa" w:w="7087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</w:tcPr>
          <w:p>
            <w:r>
              <w:t xml:space="preserve"> </w:t>
            </w:r>
          </w:p>
        </w:tc>
      </w:tr>
    </w:tbl>
    <w:p/>
    <w:p>
      <w:r>
        <w:t>Si hay desacuerdo, explicad qué cambia el riesgo: importe, cliente, posibilidad de corregir el error o datos disponibles. El riesgo de esta matriz es empresarial; no es una clasificación jurídica del AI Act.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79" w:right="935" w:bottom="765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i/>
      </w:rPr>
      <w:t>Liderar con IA · ESIC · Alcoi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10000" cy="45612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esic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0000" cy="456127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Segoe UI" w:hAnsi="Segoe UI"/>
      <w:color w:val="172B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60"/>
      <w:outlineLvl w:val="0"/>
    </w:pPr>
    <w:rPr>
      <w:rFonts w:asciiTheme="majorHAnsi" w:eastAsiaTheme="majorEastAsia" w:hAnsiTheme="majorHAnsi" w:cstheme="majorBidi" w:ascii="Segoe UI" w:hAnsi="Segoe U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60"/>
      <w:outlineLvl w:val="1"/>
    </w:pPr>
    <w:rPr>
      <w:rFonts w:asciiTheme="majorHAnsi" w:eastAsiaTheme="majorEastAsia" w:hAnsiTheme="majorHAnsi" w:cstheme="majorBidi" w:ascii="Segoe UI" w:hAnsi="Segoe UI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Segoe UI" w:hAnsi="Segoe UI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