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Crear y probar una skill de voz institucional</w:t>
      </w:r>
    </w:p>
    <w:p>
      <w:r>
        <w:t>Una skill recoge un procedimiento que el equipo puede repetir. La primera versión sirve para probar el método; solo se convierte en norma de la empresa cuando alguien la revisa y asume su mantenimiento.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10036"/>
            <w:shd w:fill="F1F5FB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</w:tcPr>
          <w:p>
            <w:r>
              <w:rPr>
                <w:b/>
                <w:color w:val="0752D9"/>
              </w:rPr>
              <w:t>Ejemplo principal</w:t>
            </w:r>
          </w:p>
          <w:p>
            <w:r>
              <w:t>Voz institucional para respuestas a comentarios públicos y mensajes de atención al cliente. La skill consulta ejemplos aprobados, pide el contexto necesario, redacta un borrador y marca afirmaciones que deben validarse antes de publicar o enviar.</w:t>
            </w:r>
          </w:p>
        </w:tc>
      </w:tr>
    </w:tbl>
    <w:p/>
    <w:p>
      <w:pPr>
        <w:pStyle w:val="Heading1"/>
      </w:pPr>
      <w:r>
        <w:t>Alternativas si ese ejemplo no encaja</w:t>
      </w:r>
    </w:p>
    <w:p>
      <w:r>
        <w:t>Parte semanal de incidencias · Revisión de presupuestos con tarifa vigente · Resumen de novedades que afectan al equipo · Preparación de reuniones comerciales.</w:t>
      </w:r>
    </w:p>
    <w:p>
      <w:pPr>
        <w:pStyle w:val="Heading1"/>
      </w:pPr>
      <w:r>
        <w:t>Qué debe contener la skill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35"/>
        <w:gridCol w:w="7087"/>
      </w:tblGrid>
      <w:tr>
        <w:tc>
          <w:tcPr>
            <w:tcW w:type="dxa" w:w="2835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  <w:shd w:fill="F1F5FB"/>
          </w:tcPr>
          <w:p>
            <w:r>
              <w:rPr>
                <w:b/>
              </w:rPr>
              <w:t>Cuándo se usa y quién la mantiene</w:t>
            </w:r>
          </w:p>
        </w:tc>
        <w:tc>
          <w:tcPr>
            <w:tcW w:type="dxa" w:w="7087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  <w:shd w:fill="F1F5FB"/>
          </w:tcPr>
          <w:p>
            <w:r>
              <w:t xml:space="preserve"> </w:t>
            </w:r>
          </w:p>
        </w:tc>
      </w:tr>
      <w:tr>
        <w:tc>
          <w:tcPr>
            <w:tcW w:type="dxa" w:w="2835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</w:tcPr>
          <w:p>
            <w:r>
              <w:rPr>
                <w:b/>
              </w:rPr>
              <w:t>Fuentes o ejemplos aprobados</w:t>
            </w:r>
          </w:p>
        </w:tc>
        <w:tc>
          <w:tcPr>
            <w:tcW w:type="dxa" w:w="7087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2835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  <w:shd w:fill="F1F5FB"/>
          </w:tcPr>
          <w:p>
            <w:r>
              <w:rPr>
                <w:b/>
              </w:rPr>
              <w:t>Pasos del trabajo</w:t>
            </w:r>
          </w:p>
        </w:tc>
        <w:tc>
          <w:tcPr>
            <w:tcW w:type="dxa" w:w="7087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  <w:shd w:fill="F1F5FB"/>
          </w:tcPr>
          <w:p>
            <w:r>
              <w:t xml:space="preserve"> </w:t>
            </w:r>
          </w:p>
        </w:tc>
      </w:tr>
      <w:tr>
        <w:tc>
          <w:tcPr>
            <w:tcW w:type="dxa" w:w="2835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</w:tcPr>
          <w:p>
            <w:r>
              <w:rPr>
                <w:b/>
              </w:rPr>
              <w:t>Tono y formato de salida</w:t>
            </w:r>
          </w:p>
        </w:tc>
        <w:tc>
          <w:tcPr>
            <w:tcW w:type="dxa" w:w="7087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2835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  <w:shd w:fill="F1F5FB"/>
          </w:tcPr>
          <w:p>
            <w:r>
              <w:rPr>
                <w:b/>
              </w:rPr>
              <w:t>Límites y excepciones</w:t>
            </w:r>
          </w:p>
        </w:tc>
        <w:tc>
          <w:tcPr>
            <w:tcW w:type="dxa" w:w="7087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  <w:shd w:fill="F1F5FB"/>
          </w:tcPr>
          <w:p>
            <w:r>
              <w:t xml:space="preserve"> </w:t>
            </w:r>
          </w:p>
        </w:tc>
      </w:tr>
      <w:tr>
        <w:tc>
          <w:tcPr>
            <w:tcW w:type="dxa" w:w="2835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</w:tcPr>
          <w:p>
            <w:r>
              <w:rPr>
                <w:b/>
              </w:rPr>
              <w:t>Quién revisa antes de usarla</w:t>
            </w:r>
          </w:p>
        </w:tc>
        <w:tc>
          <w:tcPr>
            <w:tcW w:type="dxa" w:w="7087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</w:tcPr>
          <w:p>
            <w:r>
              <w:t xml:space="preserve"> </w:t>
            </w:r>
          </w:p>
        </w:tc>
      </w:tr>
    </w:tbl>
    <w:p/>
    <w:p>
      <w:pPr>
        <w:pStyle w:val="Heading1"/>
      </w:pPr>
      <w:r>
        <w:t>Dos pruebas antes de compartirla</w:t>
      </w:r>
    </w:p>
    <w:p>
      <w:pPr>
        <w:pStyle w:val="ListBullet"/>
      </w:pPr>
      <w:r>
        <w:t>Caso habitual: una consulta o comentario sencillo; comprobar tono, utilidad y fuentes.</w:t>
      </w:r>
    </w:p>
    <w:p>
      <w:pPr>
        <w:pStyle w:val="ListBullet"/>
      </w:pPr>
      <w:r>
        <w:t>Caso difícil: reclamación sin todos los datos; la skill debe pedir información y evitar prometer una solución no aprobada.</w:t>
      </w:r>
    </w:p>
    <w:p>
      <w:r>
        <w:t>Conservad la versión corregida y nombrad a la persona que actualizará la skill cuando cambie el trabajo.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79" w:right="935" w:bottom="765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i/>
      </w:rPr>
      <w:t>Liderar con IA · ESIC · Alcoi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10000" cy="45612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esic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0000" cy="456127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Segoe UI" w:hAnsi="Segoe UI"/>
      <w:color w:val="172B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60"/>
      <w:outlineLvl w:val="0"/>
    </w:pPr>
    <w:rPr>
      <w:rFonts w:asciiTheme="majorHAnsi" w:eastAsiaTheme="majorEastAsia" w:hAnsiTheme="majorHAnsi" w:cstheme="majorBidi" w:ascii="Segoe UI" w:hAnsi="Segoe U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60"/>
      <w:outlineLvl w:val="1"/>
    </w:pPr>
    <w:rPr>
      <w:rFonts w:asciiTheme="majorHAnsi" w:eastAsiaTheme="majorEastAsia" w:hAnsiTheme="majorHAnsi" w:cstheme="majorBidi" w:ascii="Segoe UI" w:hAnsi="Segoe UI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Segoe UI" w:hAnsi="Segoe UI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