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Selección de asuntos para la próxima reunión de dirección</w:t>
      </w:r>
    </w:p>
    <w:p>
      <w:r>
        <w:rPr>
          <w:b/>
          <w:color w:val="0752D9"/>
          <w:sz w:val="18"/>
        </w:rPr>
        <w:t>Liderar con IA · ESIC · Sesión final</w:t>
      </w:r>
    </w:p>
    <w:p>
      <w:r>
        <w:t>Esta hoja reúne doce asuntos posibles para la próxima reunión de dirección. Marca la situación de tu empresa en cada fila. Después, elegid hasta dos asuntos que requieran una decisión.</w:t>
      </w:r>
    </w:p>
    <w:p>
      <w:r>
        <w:rPr>
          <w:b/>
        </w:rPr>
        <w:t xml:space="preserve">Cómo marcar: </w:t>
      </w:r>
      <w:r>
        <w:rPr>
          <w:b w:val="0"/>
        </w:rPr>
        <w:t>Afecta = sucede hoy y no hay respuesta acordada. Cubierto = hay responsable, regla y revisión. No sé = falta comprobarlo. No aplica = este tipo de trabajo no existe en mi empresa.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924"/>
        <w:gridCol w:w="981"/>
        <w:gridCol w:w="1094"/>
        <w:gridCol w:w="935"/>
        <w:gridCol w:w="1202"/>
      </w:tblGrid>
      <w:tr>
        <w:tc>
          <w:tcPr>
            <w:tcW w:type="dxa" w:w="5924"/>
            <w:shd w:fill="112E4E"/>
            <w:tcMar>
              <w:top w:w="90" w:type="dxa"/>
              <w:start w:w="70" w:type="dxa"/>
              <w:bottom w:w="90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Asunto trabajado</w:t>
            </w:r>
          </w:p>
        </w:tc>
        <w:tc>
          <w:tcPr>
            <w:tcW w:type="dxa" w:w="981"/>
            <w:shd w:fill="112E4E"/>
            <w:tcMar>
              <w:top w:w="90" w:type="dxa"/>
              <w:start w:w="70" w:type="dxa"/>
              <w:bottom w:w="90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Afecta</w:t>
            </w:r>
          </w:p>
        </w:tc>
        <w:tc>
          <w:tcPr>
            <w:tcW w:type="dxa" w:w="1094"/>
            <w:shd w:fill="112E4E"/>
            <w:tcMar>
              <w:top w:w="90" w:type="dxa"/>
              <w:start w:w="70" w:type="dxa"/>
              <w:bottom w:w="90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Cubierto</w:t>
            </w:r>
          </w:p>
        </w:tc>
        <w:tc>
          <w:tcPr>
            <w:tcW w:type="dxa" w:w="935"/>
            <w:shd w:fill="112E4E"/>
            <w:tcMar>
              <w:top w:w="90" w:type="dxa"/>
              <w:start w:w="70" w:type="dxa"/>
              <w:bottom w:w="90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 sé</w:t>
            </w:r>
          </w:p>
        </w:tc>
        <w:tc>
          <w:tcPr>
            <w:tcW w:type="dxa" w:w="1202"/>
            <w:shd w:fill="112E4E"/>
            <w:tcMar>
              <w:top w:w="90" w:type="dxa"/>
              <w:start w:w="70" w:type="dxa"/>
              <w:bottom w:w="90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 aplica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Cuentas personales y falta de servicio común</w:t>
            </w:r>
            <w:r>
              <w:br/>
            </w:r>
            <w:r>
              <w:rPr>
                <w:b w:val="0"/>
                <w:color w:val="506579"/>
                <w:sz w:val="14"/>
              </w:rPr>
              <w:t>No hay chat común ni administración de cuentas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Dudas sobre datos, permisos y usos de riesgo</w:t>
            </w:r>
            <w:r>
              <w:br/>
            </w:r>
            <w:r>
              <w:rPr>
                <w:b w:val="0"/>
                <w:color w:val="506579"/>
                <w:sz w:val="14"/>
              </w:rPr>
              <w:t>No está claro qué datos pueden compartirse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ERP e informes dan cifras distintas</w:t>
            </w:r>
            <w:r>
              <w:br/>
            </w:r>
            <w:r>
              <w:rPr>
                <w:b w:val="0"/>
                <w:color w:val="506579"/>
                <w:sz w:val="14"/>
              </w:rPr>
              <w:t>Dos fuentes muestran números diferentes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Proceso con esperas y excepciones</w:t>
            </w:r>
            <w:r>
              <w:br/>
            </w:r>
            <w:r>
              <w:rPr>
                <w:b w:val="0"/>
                <w:color w:val="506579"/>
                <w:sz w:val="14"/>
              </w:rPr>
              <w:t>Faltan datos o aparecen casos fuera de la regla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Piloto que se utiliza poco</w:t>
            </w:r>
            <w:r>
              <w:br/>
            </w:r>
            <w:r>
              <w:rPr>
                <w:b w:val="0"/>
                <w:color w:val="506579"/>
                <w:sz w:val="14"/>
              </w:rPr>
              <w:t>Existe una solución, pero casi no se usa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Ahorro de tiempo sin medir revisión ni calidad</w:t>
            </w:r>
            <w:r>
              <w:br/>
            </w:r>
            <w:r>
              <w:rPr>
                <w:b w:val="0"/>
                <w:color w:val="506579"/>
                <w:sz w:val="14"/>
              </w:rPr>
              <w:t>Faltan revisión, errores y calidad en el cálculo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Tiempo liberado sin destino definido</w:t>
            </w:r>
            <w:r>
              <w:br/>
            </w:r>
            <w:r>
              <w:rPr>
                <w:b w:val="0"/>
                <w:color w:val="506579"/>
                <w:sz w:val="14"/>
              </w:rPr>
              <w:t>La capacidad liberada no tiene una tarea asignada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Aplicaciones o agentes creados por empleados</w:t>
            </w:r>
            <w:r>
              <w:br/>
            </w:r>
            <w:r>
              <w:rPr>
                <w:b w:val="0"/>
                <w:color w:val="506579"/>
                <w:sz w:val="14"/>
              </w:rPr>
              <w:t>No hay mantenimiento ni permisos revisados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Roles que cambian y equipo sin respuesta</w:t>
            </w:r>
            <w:r>
              <w:br/>
            </w:r>
            <w:r>
              <w:rPr>
                <w:b w:val="0"/>
                <w:color w:val="506579"/>
                <w:sz w:val="14"/>
              </w:rPr>
              <w:t>Cambian tareas sin explicación ni apoyo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Champions sin tiempo o apoyo</w:t>
            </w:r>
            <w:r>
              <w:br/>
            </w:r>
            <w:r>
              <w:rPr>
                <w:b w:val="0"/>
                <w:color w:val="506579"/>
                <w:sz w:val="14"/>
              </w:rPr>
              <w:t>Referentes sin tiempo o respaldo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spacing w:after="0"/>
            </w:pPr>
            <w:r>
              <w:rPr>
                <w:b/>
                <w:sz w:val="17"/>
              </w:rPr>
              <w:t>Buenas prácticas que no se comparten</w:t>
            </w:r>
            <w:r>
              <w:br/>
            </w:r>
            <w:r>
              <w:rPr>
                <w:b w:val="0"/>
                <w:color w:val="506579"/>
                <w:sz w:val="14"/>
              </w:rPr>
              <w:t>Cada área conserva su propia versión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  <w:shd w:fill="F5F7FA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  <w:tr>
        <w:tc>
          <w:tcPr>
            <w:tcW w:type="dxa" w:w="592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spacing w:after="0"/>
            </w:pPr>
            <w:r>
              <w:rPr>
                <w:b/>
                <w:sz w:val="17"/>
              </w:rPr>
              <w:t>Nueva oferta o servicio posible con IA</w:t>
            </w:r>
            <w:r>
              <w:br/>
            </w:r>
            <w:r>
              <w:rPr>
                <w:b w:val="0"/>
                <w:color w:val="506579"/>
                <w:sz w:val="14"/>
              </w:rPr>
              <w:t>Faltan clientes, coste o capacidad validados</w:t>
            </w:r>
          </w:p>
        </w:tc>
        <w:tc>
          <w:tcPr>
            <w:tcW w:type="dxa" w:w="981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094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935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  <w:tc>
          <w:tcPr>
            <w:tcW w:type="dxa" w:w="1202"/>
            <w:tcMar>
              <w:top w:w="67" w:type="dxa"/>
              <w:start w:w="70" w:type="dxa"/>
              <w:bottom w:w="67" w:type="dxa"/>
              <w:end w:w="70" w:type="dxa"/>
            </w:tcMar>
            <w:tcBorders>
              <w:top w:val="single" w:color="D9D9D9" w:sz="4"/>
              <w:left w:val="single" w:color="D9D9D9" w:sz="4"/>
              <w:bottom w:val="single" w:color="D9D9D9" w:sz="4"/>
              <w:right w:val="single" w:color="D9D9D9" w:sz="4"/>
            </w:tcBorders>
            <w:vAlign w:val="center"/>
          </w:tcPr>
          <w:p>
            <w:pPr>
              <w:jc w:val="center"/>
            </w:pPr>
            <w:r>
              <w:rPr>
                <w:b w:val="0"/>
                <w:sz w:val="24"/>
              </w:rPr>
              <w:t>☐</w:t>
            </w:r>
          </w:p>
        </w:tc>
      </w:tr>
    </w:tbl>
    <w:p>
      <w:pPr>
        <w:spacing w:before="160"/>
      </w:pPr>
      <w:r>
        <w:t>Elegid hasta dos asuntos que podáis describir con un caso concreto. Para cada uno, anotad la decisión que pedís, qué dato falta y a quién convocar. Si falta información, el primer paso puede ser obtenerla.</w:t>
      </w:r>
    </w:p>
    <w:p>
      <w:pPr>
        <w:pStyle w:val="Heading2"/>
      </w:pPr>
      <w:r>
        <w:t>Asunto 1 para dirección</w:t>
      </w:r>
    </w:p>
    <w:p>
      <w:pPr>
        <w:spacing w:after="40"/>
      </w:pPr>
      <w:r>
        <w:rPr>
          <w:b/>
          <w:sz w:val="17"/>
        </w:rPr>
        <w:t xml:space="preserve">Asunto y decisión que pedimos: </w:t>
      </w:r>
      <w:r>
        <w:rPr>
          <w:b w:val="0"/>
          <w:sz w:val="17"/>
        </w:rPr>
        <w:t>___________________________________________________________________</w:t>
      </w:r>
    </w:p>
    <w:p>
      <w:pPr>
        <w:spacing w:after="40"/>
      </w:pPr>
      <w:r>
        <w:rPr>
          <w:b/>
          <w:sz w:val="17"/>
        </w:rPr>
        <w:t xml:space="preserve">Hecho o dato que falta: </w:t>
      </w:r>
      <w:r>
        <w:rPr>
          <w:b w:val="0"/>
          <w:sz w:val="17"/>
        </w:rPr>
        <w:t>___________________________________________________________________</w:t>
      </w:r>
    </w:p>
    <w:p>
      <w:pPr>
        <w:spacing w:after="40"/>
      </w:pPr>
      <w:r>
        <w:rPr>
          <w:b/>
          <w:sz w:val="17"/>
        </w:rPr>
        <w:t xml:space="preserve">A quién sentar y primer paso con fecha: </w:t>
      </w:r>
      <w:r>
        <w:rPr>
          <w:b w:val="0"/>
          <w:sz w:val="17"/>
        </w:rPr>
        <w:t>___________________________________________________________________</w:t>
      </w:r>
    </w:p>
    <w:p>
      <w:pPr>
        <w:pStyle w:val="Heading2"/>
      </w:pPr>
      <w:r>
        <w:t>Asunto 2 para dirección</w:t>
      </w:r>
    </w:p>
    <w:p>
      <w:pPr>
        <w:spacing w:after="40"/>
      </w:pPr>
      <w:r>
        <w:rPr>
          <w:b/>
          <w:sz w:val="17"/>
        </w:rPr>
        <w:t xml:space="preserve">Asunto y decisión que pedimos: </w:t>
      </w:r>
      <w:r>
        <w:rPr>
          <w:b w:val="0"/>
          <w:sz w:val="17"/>
        </w:rPr>
        <w:t>___________________________________________________________________</w:t>
      </w:r>
    </w:p>
    <w:p>
      <w:pPr>
        <w:spacing w:after="40"/>
      </w:pPr>
      <w:r>
        <w:rPr>
          <w:b/>
          <w:sz w:val="17"/>
        </w:rPr>
        <w:t xml:space="preserve">Hecho o dato que falta: </w:t>
      </w:r>
      <w:r>
        <w:rPr>
          <w:b w:val="0"/>
          <w:sz w:val="17"/>
        </w:rPr>
        <w:t>___________________________________________________________________</w:t>
      </w:r>
    </w:p>
    <w:p>
      <w:pPr>
        <w:spacing w:after="40"/>
      </w:pPr>
      <w:r>
        <w:rPr>
          <w:b/>
          <w:sz w:val="17"/>
        </w:rPr>
        <w:t xml:space="preserve">A quién sentar y primer paso con fecha: </w:t>
      </w:r>
      <w:r>
        <w:rPr>
          <w:b w:val="0"/>
          <w:sz w:val="17"/>
        </w:rPr>
        <w:t>___________________________________________________________________</w:t>
      </w:r>
    </w:p>
    <w:sectPr w:rsidR="00FC693F" w:rsidRPr="0006063C" w:rsidSect="00034616">
      <w:pgSz w:w="11906" w:h="16838"/>
      <w:pgMar w:top="850" w:right="879" w:bottom="737" w:left="8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Segoe UI" w:hAnsi="Segoe UI"/>
      <w:color w:val="172B42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80"/>
      <w:outlineLvl w:val="0"/>
    </w:pPr>
    <w:rPr>
      <w:rFonts w:asciiTheme="majorHAnsi" w:eastAsiaTheme="majorEastAsia" w:hAnsiTheme="majorHAnsi" w:cstheme="majorBidi" w:ascii="Segoe UI" w:hAnsi="Segoe U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Segoe UI" w:hAnsi="Segoe UI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40" w:lineRule="auto"/>
      <w:contextualSpacing/>
    </w:pPr>
    <w:rPr>
      <w:rFonts w:asciiTheme="majorHAnsi" w:eastAsiaTheme="majorEastAsia" w:hAnsiTheme="majorHAnsi" w:cstheme="majorBidi" w:ascii="Segoe UI" w:hAnsi="Segoe UI"/>
      <w:b/>
      <w:color w:val="000000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